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9C47" w14:textId="3C885989" w:rsidR="0055522E" w:rsidRPr="007208E4" w:rsidRDefault="002B3718" w:rsidP="001B7C06">
      <w:pPr>
        <w:widowControl w:val="0"/>
        <w:tabs>
          <w:tab w:val="left" w:pos="5853"/>
          <w:tab w:val="left" w:leader="dot" w:pos="8742"/>
        </w:tabs>
        <w:suppressAutoHyphens/>
        <w:autoSpaceDE w:val="0"/>
        <w:autoSpaceDN w:val="0"/>
        <w:spacing w:after="0" w:line="360" w:lineRule="auto"/>
        <w:rPr>
          <w:rFonts w:ascii="Tahoma" w:hAnsi="Tahoma" w:cs="Tahoma"/>
          <w:b/>
          <w:sz w:val="24"/>
          <w:szCs w:val="24"/>
          <w:lang w:eastAsia="ar-SA"/>
        </w:rPr>
      </w:pPr>
      <w:r w:rsidRPr="00921939">
        <w:rPr>
          <w:rFonts w:ascii="Tahoma" w:hAnsi="Tahoma" w:cs="Tahoma"/>
          <w:b/>
          <w:sz w:val="24"/>
          <w:szCs w:val="24"/>
          <w:lang w:eastAsia="ar-SA"/>
        </w:rPr>
        <w:t xml:space="preserve">Załącznik nr </w:t>
      </w:r>
      <w:r w:rsidR="00B610CC" w:rsidRPr="00921939">
        <w:rPr>
          <w:rFonts w:ascii="Tahoma" w:hAnsi="Tahoma" w:cs="Tahoma"/>
          <w:b/>
          <w:sz w:val="24"/>
          <w:szCs w:val="24"/>
          <w:lang w:eastAsia="ar-SA"/>
        </w:rPr>
        <w:t>3</w:t>
      </w:r>
    </w:p>
    <w:p w14:paraId="064613C1" w14:textId="6297DA0A" w:rsidR="009F7F60" w:rsidRPr="001B7C06" w:rsidRDefault="009F7F60" w:rsidP="001B7C06">
      <w:pPr>
        <w:spacing w:before="100" w:beforeAutospacing="1" w:after="100" w:afterAutospacing="1" w:line="360" w:lineRule="auto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b/>
          <w:bCs/>
          <w:sz w:val="24"/>
          <w:szCs w:val="24"/>
        </w:rPr>
        <w:t>INFORMACJE DOTYCZĄCE OCHRONY OSÓB FIZYCZNYCH W ZWIĄZKU Z PRZETWARZANIEM DANYCH </w:t>
      </w:r>
      <w:proofErr w:type="gramStart"/>
      <w:r w:rsidRPr="001B7C06">
        <w:rPr>
          <w:rFonts w:ascii="Tahoma" w:hAnsi="Tahoma" w:cs="Tahoma"/>
          <w:b/>
          <w:bCs/>
          <w:sz w:val="24"/>
          <w:szCs w:val="24"/>
        </w:rPr>
        <w:t>OSOBOWYCH  I</w:t>
      </w:r>
      <w:proofErr w:type="gramEnd"/>
      <w:r w:rsidRPr="001B7C06">
        <w:rPr>
          <w:rFonts w:ascii="Tahoma" w:hAnsi="Tahoma" w:cs="Tahoma"/>
          <w:b/>
          <w:bCs/>
          <w:sz w:val="24"/>
          <w:szCs w:val="24"/>
        </w:rPr>
        <w:t xml:space="preserve"> W SPRAWIE SWOBODNEGO PRZEPŁYWU TAKICH DANYCH </w:t>
      </w:r>
    </w:p>
    <w:p w14:paraId="729F2563" w14:textId="2BDE3B94" w:rsidR="0084374D" w:rsidRPr="001B7C06" w:rsidRDefault="0084374D" w:rsidP="001B7C06">
      <w:pPr>
        <w:numPr>
          <w:ilvl w:val="0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Zgodnie z art. 13 ust. 1 i 2 </w:t>
      </w:r>
      <w:r w:rsidR="009C631F">
        <w:rPr>
          <w:rFonts w:ascii="Tahoma" w:hAnsi="Tahoma" w:cs="Tahoma"/>
          <w:sz w:val="24"/>
          <w:szCs w:val="24"/>
        </w:rPr>
        <w:t xml:space="preserve">oraz art. 14 </w:t>
      </w:r>
      <w:r w:rsidRPr="001B7C06">
        <w:rPr>
          <w:rFonts w:ascii="Tahoma" w:hAnsi="Tahoma" w:cs="Tahoma"/>
          <w:sz w:val="24"/>
          <w:szCs w:val="24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5E6A4332" w14:textId="3E4E6B5F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administratorem Pani/Pana danych osobowych jest Uniwersytet Medyczny w Lublinie, Al. Racławickie 1, 20-059 Lublin, NIP: 712-01-06-911, REGON: 000288716, </w:t>
      </w:r>
      <w:proofErr w:type="gramStart"/>
      <w:r w:rsidRPr="001B7C06">
        <w:rPr>
          <w:rFonts w:ascii="Tahoma" w:hAnsi="Tahoma" w:cs="Tahoma"/>
          <w:sz w:val="24"/>
          <w:szCs w:val="24"/>
        </w:rPr>
        <w:t>tel. :</w:t>
      </w:r>
      <w:proofErr w:type="gramEnd"/>
      <w:r w:rsidRPr="001B7C06">
        <w:rPr>
          <w:rFonts w:ascii="Tahoma" w:hAnsi="Tahoma" w:cs="Tahoma"/>
          <w:sz w:val="24"/>
          <w:szCs w:val="24"/>
        </w:rPr>
        <w:t xml:space="preserve"> +48 81 448 50 00, z którym kontakt możliwy jest pod adresem e-mail: </w:t>
      </w:r>
      <w:hyperlink r:id="rId7" w:history="1">
        <w:r w:rsidR="00A83564" w:rsidRPr="001B7C06">
          <w:rPr>
            <w:rStyle w:val="Hipercze"/>
            <w:rFonts w:ascii="Tahoma" w:hAnsi="Tahoma" w:cs="Tahoma"/>
            <w:sz w:val="24"/>
            <w:szCs w:val="24"/>
          </w:rPr>
          <w:t>biuro.rektora@umlub.edu.pl</w:t>
        </w:r>
      </w:hyperlink>
      <w:r w:rsidRPr="001B7C06">
        <w:rPr>
          <w:rFonts w:ascii="Tahoma" w:hAnsi="Tahoma" w:cs="Tahoma"/>
          <w:sz w:val="24"/>
          <w:szCs w:val="24"/>
        </w:rPr>
        <w:t>,</w:t>
      </w:r>
    </w:p>
    <w:p w14:paraId="2DA0B54C" w14:textId="375A4858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z inspektorem ochrony danych osobowych w Uniwersytecie Medycznym w Lublinie można skontaktować się pod adresem e-mail</w:t>
      </w:r>
      <w:r w:rsidRPr="001B7C06">
        <w:rPr>
          <w:rFonts w:ascii="Tahoma" w:eastAsiaTheme="minorHAnsi" w:hAnsi="Tahoma" w:cs="Tahoma"/>
          <w:sz w:val="24"/>
          <w:szCs w:val="24"/>
        </w:rPr>
        <w:t xml:space="preserve"> </w:t>
      </w:r>
      <w:r w:rsidRPr="001B7C06">
        <w:rPr>
          <w:rFonts w:ascii="Tahoma" w:hAnsi="Tahoma" w:cs="Tahoma"/>
          <w:sz w:val="24"/>
          <w:szCs w:val="24"/>
        </w:rPr>
        <w:t xml:space="preserve"> </w:t>
      </w:r>
      <w:hyperlink r:id="rId8" w:history="1">
        <w:r w:rsidR="00A83564" w:rsidRPr="001B7C06">
          <w:rPr>
            <w:rStyle w:val="Hipercze"/>
            <w:rFonts w:ascii="Tahoma" w:hAnsi="Tahoma" w:cs="Tahoma"/>
            <w:sz w:val="24"/>
            <w:szCs w:val="24"/>
          </w:rPr>
          <w:t>iod@umlub.edu.pl</w:t>
        </w:r>
      </w:hyperlink>
      <w:r w:rsidRPr="001B7C06">
        <w:rPr>
          <w:rFonts w:ascii="Tahoma" w:hAnsi="Tahoma" w:cs="Tahoma"/>
          <w:sz w:val="24"/>
          <w:szCs w:val="24"/>
        </w:rPr>
        <w:t>;</w:t>
      </w:r>
    </w:p>
    <w:p w14:paraId="0958002D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Pani/Pana dane osobowe przetwarzane będą na podstawie art. 6 ust. 1 lit. c RODO w celu związanym z niniejszym postępowaniem o udzielenie zamówienia </w:t>
      </w:r>
      <w:proofErr w:type="gramStart"/>
      <w:r w:rsidRPr="001B7C06">
        <w:rPr>
          <w:rFonts w:ascii="Tahoma" w:hAnsi="Tahoma" w:cs="Tahoma"/>
          <w:sz w:val="24"/>
          <w:szCs w:val="24"/>
        </w:rPr>
        <w:t>publicznego ;</w:t>
      </w:r>
      <w:proofErr w:type="gramEnd"/>
    </w:p>
    <w:p w14:paraId="100B707A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odbiorcami Pani/Pana danych osobowych będą osoby lub podmioty, którym udostępniona zostanie dokumentacja postępowania w oparciu o art. 18 i 74 ustawy Pzp.</w:t>
      </w:r>
    </w:p>
    <w:p w14:paraId="21E6BFA7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Pani/Pana dane osobowe będą przechowywane, zgodnie z przepisami ustawy Pzp, przez okres 4 lat od dnia zakończenia postępowania o udzielenie zamówienia, nie krótszy jednak niż okres realizacji i utrzymania trwałości efektów projektu, a w przypadku pomocy publicznej nie krócej niż 10 lat od daty przyznania tej pomocy.</w:t>
      </w:r>
    </w:p>
    <w:p w14:paraId="2C534083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  </w:t>
      </w:r>
    </w:p>
    <w:p w14:paraId="10DEA913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lastRenderedPageBreak/>
        <w:t>w odniesieniu do Pani/Pana danych osobowych decyzje nie będą podejmowane w sposób zautomatyzowany, stosowanie do art. 22 RODO;</w:t>
      </w:r>
    </w:p>
    <w:p w14:paraId="4908FC51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posiada Pani/Pan:</w:t>
      </w:r>
    </w:p>
    <w:p w14:paraId="78C49507" w14:textId="5CCF6A2F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na podstawie art. 15 RODO prawo dostępu do danych osobowych Pani/Pana dotyczących;</w:t>
      </w:r>
    </w:p>
    <w:p w14:paraId="28961313" w14:textId="7FAADF25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na podstawie art. 16 RODO prawo do sprostowania Pani/Pana danych osobowych (</w:t>
      </w:r>
      <w:r w:rsidR="0084374D" w:rsidRPr="001B7C06">
        <w:rPr>
          <w:rFonts w:ascii="Tahoma" w:hAnsi="Tahoma" w:cs="Tahoma"/>
          <w:i/>
          <w:iCs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załączników)</w:t>
      </w:r>
      <w:r w:rsidR="0084374D" w:rsidRPr="001B7C06">
        <w:rPr>
          <w:rFonts w:ascii="Tahoma" w:hAnsi="Tahoma" w:cs="Tahoma"/>
          <w:sz w:val="24"/>
          <w:szCs w:val="24"/>
        </w:rPr>
        <w:t>;</w:t>
      </w:r>
    </w:p>
    <w:p w14:paraId="2066782D" w14:textId="756D0BD4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 (</w:t>
      </w:r>
      <w:r w:rsidR="0084374D" w:rsidRPr="001B7C06">
        <w:rPr>
          <w:rFonts w:ascii="Tahoma" w:hAnsi="Tahoma" w:cs="Tahoma"/>
          <w:i/>
          <w:iCs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84374D" w:rsidRPr="001B7C06">
        <w:rPr>
          <w:rFonts w:ascii="Tahoma" w:hAnsi="Tahoma" w:cs="Tahoma"/>
          <w:sz w:val="24"/>
          <w:szCs w:val="24"/>
        </w:rPr>
        <w:t>;</w:t>
      </w:r>
    </w:p>
    <w:p w14:paraId="161D19A3" w14:textId="054E2CF5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</w:p>
    <w:p w14:paraId="756D3A09" w14:textId="77777777" w:rsidR="0084374D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nie przysługuje Pani/Panu:</w:t>
      </w:r>
    </w:p>
    <w:p w14:paraId="7A585178" w14:textId="081B3DCE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w związku z art. 17 ust. 3 lit. b, d lub e RODO prawo do usunięcia danych osobowych;</w:t>
      </w:r>
    </w:p>
    <w:p w14:paraId="293A5F82" w14:textId="6F636DF4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prawo do przenoszenia danych osobowych, o którym mowa w art. 20 RODO;</w:t>
      </w:r>
    </w:p>
    <w:p w14:paraId="3F6EBBE5" w14:textId="3C48B623" w:rsidR="0084374D" w:rsidRPr="001B7C06" w:rsidRDefault="0055522E" w:rsidP="001B7C06">
      <w:pPr>
        <w:spacing w:after="0" w:line="360" w:lineRule="auto"/>
        <w:ind w:left="142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 xml:space="preserve">- </w:t>
      </w:r>
      <w:r w:rsidR="0084374D" w:rsidRPr="001B7C06">
        <w:rPr>
          <w:rFonts w:ascii="Tahoma" w:hAnsi="Tahoma" w:cs="Tahoma"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</w:p>
    <w:p w14:paraId="3EE7C527" w14:textId="77777777" w:rsidR="009F7F60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bCs/>
          <w:iCs/>
          <w:sz w:val="24"/>
          <w:szCs w:val="24"/>
        </w:rPr>
      </w:pPr>
      <w:r w:rsidRPr="001B7C06">
        <w:rPr>
          <w:rFonts w:ascii="Tahoma" w:hAnsi="Tahoma" w:cs="Tahoma"/>
          <w:bCs/>
          <w:iCs/>
          <w:sz w:val="24"/>
          <w:szCs w:val="24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</w:t>
      </w:r>
      <w:r w:rsidRPr="001B7C06">
        <w:rPr>
          <w:rFonts w:ascii="Tahoma" w:hAnsi="Tahoma" w:cs="Tahoma"/>
          <w:bCs/>
          <w:iCs/>
          <w:sz w:val="24"/>
          <w:szCs w:val="24"/>
        </w:rPr>
        <w:lastRenderedPageBreak/>
        <w:t xml:space="preserve">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</w:t>
      </w:r>
      <w:r w:rsidRPr="001B7C06">
        <w:rPr>
          <w:rFonts w:ascii="Tahoma" w:hAnsi="Tahoma" w:cs="Tahoma"/>
          <w:sz w:val="24"/>
          <w:szCs w:val="24"/>
        </w:rPr>
        <w:t>inwestycji w ramach planu rozwojowego</w:t>
      </w:r>
      <w:r w:rsidRPr="001B7C06">
        <w:rPr>
          <w:rFonts w:ascii="Tahoma" w:hAnsi="Tahoma" w:cs="Tahoma"/>
          <w:bCs/>
          <w:iCs/>
          <w:sz w:val="24"/>
          <w:szCs w:val="24"/>
        </w:rPr>
        <w:t xml:space="preserve">. Dane nie będą przekazywane do państw trzecich i organizacji międzynarodowych. Mogą one zostać przekazane podmiotom współpracującym w Uniwersytetem w oparciu o umowy </w:t>
      </w:r>
      <w:proofErr w:type="gramStart"/>
      <w:r w:rsidRPr="001B7C06">
        <w:rPr>
          <w:rFonts w:ascii="Tahoma" w:hAnsi="Tahoma" w:cs="Tahoma"/>
          <w:bCs/>
          <w:iCs/>
          <w:sz w:val="24"/>
          <w:szCs w:val="24"/>
        </w:rPr>
        <w:t>powierzenia  zawarte</w:t>
      </w:r>
      <w:proofErr w:type="gramEnd"/>
      <w:r w:rsidRPr="001B7C06">
        <w:rPr>
          <w:rFonts w:ascii="Tahoma" w:hAnsi="Tahoma" w:cs="Tahoma"/>
          <w:bCs/>
          <w:iCs/>
          <w:sz w:val="24"/>
          <w:szCs w:val="24"/>
        </w:rPr>
        <w:t xml:space="preserve"> zgodnie z 28 RODO, m.in. w związku ze wsparciem w  zakresie IT, czy obsługą korespondencji. W pozostałym zakresie zasady i sposób postępowania z danymi został opisany powyżej.</w:t>
      </w:r>
    </w:p>
    <w:p w14:paraId="6FABA78A" w14:textId="1776AD6C" w:rsidR="009F7F60" w:rsidRPr="001B7C06" w:rsidRDefault="0084374D" w:rsidP="001B7C06">
      <w:pPr>
        <w:numPr>
          <w:ilvl w:val="1"/>
          <w:numId w:val="4"/>
        </w:numPr>
        <w:spacing w:after="0" w:line="360" w:lineRule="auto"/>
        <w:ind w:left="142" w:hanging="709"/>
        <w:rPr>
          <w:rFonts w:ascii="Tahoma" w:hAnsi="Tahoma" w:cs="Tahoma"/>
          <w:bCs/>
          <w:iCs/>
          <w:sz w:val="24"/>
          <w:szCs w:val="24"/>
        </w:rPr>
      </w:pPr>
      <w:r w:rsidRPr="001B7C06">
        <w:rPr>
          <w:rFonts w:ascii="Tahoma" w:hAnsi="Tahoma" w:cs="Tahoma"/>
          <w:bCs/>
          <w:iCs/>
          <w:sz w:val="24"/>
          <w:szCs w:val="24"/>
        </w:rPr>
        <w:t xml:space="preserve">Zamawiający informuje, że Administratorem danych jest: </w:t>
      </w:r>
    </w:p>
    <w:p w14:paraId="11735CEA" w14:textId="77777777" w:rsidR="009F7F60" w:rsidRPr="001B7C06" w:rsidRDefault="009F7F60" w:rsidP="001B7C06">
      <w:pPr>
        <w:pStyle w:val="Default"/>
        <w:spacing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>Minister Zdrowia z siedzibą w Warszawie 00-952, ul. Miodowa 15, NIP: 5251918554, REGON: 000287987</w:t>
      </w:r>
    </w:p>
    <w:p w14:paraId="0A0ACF74" w14:textId="77777777" w:rsidR="009F7F60" w:rsidRPr="001B7C06" w:rsidRDefault="00B54F14" w:rsidP="001B7C06">
      <w:pPr>
        <w:pStyle w:val="Default"/>
        <w:numPr>
          <w:ilvl w:val="1"/>
          <w:numId w:val="4"/>
        </w:numPr>
        <w:spacing w:line="360" w:lineRule="auto"/>
        <w:ind w:left="142" w:hanging="709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>Zamawiający informuje, że wszystkie dostawy/roboty budowlane realizowane w ramach Planu rozwojowego Przedsięwzięcia pn. „Modernizacja i wyposażenie obiektów dydaktycznych w związku z zwiększeniem limitów przyjęć na studia medyczne – Uniwersytet Medyczny w Lublinie” będącego elementem Inwestycji D2.1.1 pn. „Inwestycje związane z modernizacją i doposażeniem obiektów dydaktycznych w związku ze zwiększeniem limitów przyjęć na studia medyczne” realizowanego w ramach Krajowego Planu Odbudowy i Zwiększenia Odporności – komponentu D „Efektywność, dostępność i jakość systemu ochrony zdrowia”  muszą być zgodne z zasadą „nieczynienia poważnych szkód” (DNSH), w rozumieniu art. 17 rozporządzenia (UE) 2020/852 (rozporządzenie w sprawie taksonomii). Wykonawca zobowiązany jest do dostarczenia dokumentów potwierdzających spełnienie zasady DNSH oraz udzielania wyjaśnień w tym zakresie na wezwanie Zamawiającego.</w:t>
      </w:r>
    </w:p>
    <w:p w14:paraId="700FF9E8" w14:textId="77777777" w:rsidR="009F7F60" w:rsidRPr="001B7C06" w:rsidRDefault="00B54F14" w:rsidP="001B7C06">
      <w:pPr>
        <w:pStyle w:val="Default"/>
        <w:numPr>
          <w:ilvl w:val="1"/>
          <w:numId w:val="4"/>
        </w:numPr>
        <w:spacing w:line="360" w:lineRule="auto"/>
        <w:ind w:left="142" w:hanging="709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hAnsi="Tahoma" w:cs="Tahoma"/>
          <w:bCs/>
          <w:iCs/>
        </w:rPr>
        <w:t xml:space="preserve">Zamawiający informuje, iż dane kontrahentów i wykonawców zaangażowanych w realizację przedmiotu zamówienia mogą być wykorzystywanie i przetwarzane przez Ministerstwo Zdrowia w systemach Arachne i SKANER. System Arachne jest systemem teleinformatycznym, prowadzonym przez Komisję Europejską, który przez zastosowanie algorytmów przeliczeniowych kalkuluje ryzyko wystąpienia </w:t>
      </w:r>
      <w:r w:rsidRPr="001B7C06">
        <w:rPr>
          <w:rFonts w:ascii="Tahoma" w:hAnsi="Tahoma" w:cs="Tahoma"/>
          <w:bCs/>
          <w:iCs/>
        </w:rPr>
        <w:lastRenderedPageBreak/>
        <w:t>nieprawidłowości dotyczącej zapobiegania korupcji, nadużyć finansowych, konfliktu interesów i podwójnego finansowania. Aplikacja Skaner oznacza aplikację połączoną z CST2021 (systemu teleinformatycznego utworzonego i utrzymywanego przez ministra właściwego do spraw rozwoju regionalnego do obsługi w szczególności reform, inwestycji i przedsięwzięć KPO) oraz innymi źródłami danych (m.in. KRS, CEiDG, CRBR) umożliwiającą pobieranie z poszczególnych źródeł danych takich jak: dane identyfikacyjne, informacje o podmiotach i osobach powiązanych, listę beneficjentów rzeczywistych, kody PKD, informacje o realizowanych projektach, informacje o zamówieniach."</w:t>
      </w:r>
    </w:p>
    <w:p w14:paraId="540233EC" w14:textId="3225D2AD" w:rsidR="00B54F14" w:rsidRPr="001B7C06" w:rsidRDefault="00B54F14" w:rsidP="001B7C06">
      <w:pPr>
        <w:pStyle w:val="Default"/>
        <w:numPr>
          <w:ilvl w:val="1"/>
          <w:numId w:val="4"/>
        </w:numPr>
        <w:spacing w:line="360" w:lineRule="auto"/>
        <w:ind w:left="142" w:hanging="709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 xml:space="preserve">Zgodnie z Ramową procedurą w zakresie udostępniania gromadzonych i przechowywanych danych dotyczących odbiorców końcowych, wykonawców i podwykonawców oraz ich beneficjentów rzeczywistych w celu umożliwienia KE, OLAF, ETO i EPPO (w stosowanych przypadkach) oraz innym właściwym organom krajowym identyfikację sygnałów ostrzegawczych i potencjalnych nadużyć do celów audytu i kontroli, w celu umożliwienia identyfikacji sygnałów ostrzegawczych i potencjalnych nadużyć do celów audytu i kontroli zapewnia się, że w ramach audytu, na wniosek lub żądanie instytucji audytującej udostępni się instytucjom audytującym KPO (KE, OLAF, ETO) informacje z następujących kategorii, zgodnie z art. 22 ust. 2 lit. d i e rozporządzenia 2021/241: </w:t>
      </w:r>
    </w:p>
    <w:p w14:paraId="603BFFB0" w14:textId="77777777" w:rsidR="0055522E" w:rsidRPr="001B7C06" w:rsidRDefault="00B54F14" w:rsidP="001B7C06">
      <w:pPr>
        <w:pStyle w:val="Default"/>
        <w:spacing w:after="176"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 xml:space="preserve">1) nazwa ostatecznego odbiorcy środków finansowych; </w:t>
      </w:r>
    </w:p>
    <w:p w14:paraId="452F2AB7" w14:textId="7E355CF4" w:rsidR="00B54F14" w:rsidRPr="001B7C06" w:rsidRDefault="00B54F14" w:rsidP="001B7C06">
      <w:pPr>
        <w:pStyle w:val="Default"/>
        <w:spacing w:after="176"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 xml:space="preserve">2) nazwa wykonawcy i podwykonawcy, jeżeli ostateczny odbiorca środków finansowych jest instytucją zamawiającą zgodnie z prawem unijnym lub krajowym dotyczącym zamówień publicznych; </w:t>
      </w:r>
    </w:p>
    <w:p w14:paraId="06843D6B" w14:textId="7B326EC9" w:rsidR="0055522E" w:rsidRPr="001B7C06" w:rsidRDefault="00B54F14" w:rsidP="001B7C06">
      <w:pPr>
        <w:pStyle w:val="Default"/>
        <w:spacing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>3) imiona, nazwiska i daty urodzenia beneficjentów rzeczywistych podmiotu będącego odbiorcą środków finansowych lub wykonawcą, zgodnie z definicją zawartą w art. 3 pkt 6 dyrektywy Parlamentu Europejskiego i Rady (UE) 2015/849 49;</w:t>
      </w:r>
    </w:p>
    <w:p w14:paraId="58D1021D" w14:textId="77777777" w:rsidR="0055522E" w:rsidRPr="001B7C06" w:rsidRDefault="0055522E" w:rsidP="001B7C06">
      <w:pPr>
        <w:pStyle w:val="Default"/>
        <w:spacing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</w:p>
    <w:p w14:paraId="75DF527F" w14:textId="654AFE5B" w:rsidR="00B54F14" w:rsidRPr="001B7C06" w:rsidRDefault="00B54F14" w:rsidP="001B7C06">
      <w:pPr>
        <w:pStyle w:val="Default"/>
        <w:spacing w:line="360" w:lineRule="auto"/>
        <w:ind w:left="142"/>
        <w:rPr>
          <w:rFonts w:ascii="Tahoma" w:eastAsia="Times New Roman" w:hAnsi="Tahoma" w:cs="Tahoma"/>
          <w:bCs/>
          <w:iCs/>
          <w:color w:val="auto"/>
          <w:lang w:eastAsia="pl-PL"/>
        </w:rPr>
      </w:pP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t xml:space="preserve">4) wykaz działań służących realizacji reform i projektów inwestycyjnych w ramach planu odbudowy i zwiększania odporności wraz z łączną kwotą finansowania </w:t>
      </w:r>
      <w:r w:rsidRPr="001B7C06">
        <w:rPr>
          <w:rFonts w:ascii="Tahoma" w:eastAsia="Times New Roman" w:hAnsi="Tahoma" w:cs="Tahoma"/>
          <w:bCs/>
          <w:iCs/>
          <w:color w:val="auto"/>
          <w:lang w:eastAsia="pl-PL"/>
        </w:rPr>
        <w:lastRenderedPageBreak/>
        <w:t xml:space="preserve">publicznego tych działań, ze wskazaniem kwoty środków finansowych wydatkowanych w ramach Instrumentu i innych funduszy unijnych. </w:t>
      </w:r>
    </w:p>
    <w:p w14:paraId="136CD198" w14:textId="4B4BD1A1" w:rsidR="00B54F14" w:rsidRPr="001B7C06" w:rsidRDefault="00B54F14" w:rsidP="001B7C06">
      <w:pPr>
        <w:pStyle w:val="Akapitzlist"/>
        <w:numPr>
          <w:ilvl w:val="1"/>
          <w:numId w:val="8"/>
        </w:numPr>
        <w:shd w:val="clear" w:color="auto" w:fill="FFFFFF"/>
        <w:spacing w:after="120" w:line="360" w:lineRule="auto"/>
        <w:ind w:left="142" w:hanging="709"/>
        <w:rPr>
          <w:rFonts w:ascii="Tahoma" w:hAnsi="Tahoma" w:cs="Tahoma"/>
          <w:bCs/>
          <w:iCs/>
          <w:sz w:val="24"/>
          <w:szCs w:val="24"/>
        </w:rPr>
      </w:pPr>
      <w:r w:rsidRPr="001B7C06">
        <w:rPr>
          <w:rFonts w:ascii="Tahoma" w:hAnsi="Tahoma" w:cs="Tahoma"/>
          <w:bCs/>
          <w:iCs/>
          <w:sz w:val="24"/>
          <w:szCs w:val="24"/>
        </w:rPr>
        <w:t>Zamawiający informuje, że w przypadku wyboru oferty Wykonawcy będącego podmiotem zagranicznym, Wykonawca ten będzie zobowiązany – przed zawarciem umowy – do przekazania Zamawiającemu informacji o swoich beneficjentach rzeczywistych, zgodnie z definicją zawartą w art. 2 pkt 2 ustawy z dnia 1 marca 2018 r. o przeciwdziałaniu praniu pieniędzy oraz finansowaniu terroryzmu (Dz.U. z 2023 r. poz. 1124 ze zm.). Informacje te powinny zawierać co najmniej: imię i nazwisko beneficjenta rzeczywistego, obywatelstwo, państwo zamieszkania, podstawę prawną uznania danej osoby za beneficjenta rzeczywistego. Wykonawca zobowiązany jest również do niezwłocznego informowania Zamawiającego o każdej zmianie w zakresie wskazanych informacji przez cały okres obowiązywania umowy.</w:t>
      </w:r>
    </w:p>
    <w:p w14:paraId="36B5F437" w14:textId="77777777" w:rsidR="009F7F60" w:rsidRPr="001B7C06" w:rsidRDefault="009F7F60" w:rsidP="001B7C06">
      <w:pPr>
        <w:pStyle w:val="Akapitzlist"/>
        <w:shd w:val="clear" w:color="auto" w:fill="FFFFFF"/>
        <w:spacing w:after="120" w:line="360" w:lineRule="auto"/>
        <w:ind w:left="142" w:hanging="709"/>
        <w:rPr>
          <w:rFonts w:ascii="Tahoma" w:hAnsi="Tahoma" w:cs="Tahoma"/>
          <w:bCs/>
          <w:iCs/>
          <w:sz w:val="24"/>
          <w:szCs w:val="24"/>
        </w:rPr>
      </w:pPr>
    </w:p>
    <w:p w14:paraId="50B166A5" w14:textId="77777777" w:rsidR="00B54F14" w:rsidRPr="001B7C06" w:rsidRDefault="00B54F14" w:rsidP="001B7C06">
      <w:pPr>
        <w:pStyle w:val="Akapitzlist"/>
        <w:spacing w:before="576" w:line="360" w:lineRule="auto"/>
        <w:ind w:left="0"/>
        <w:rPr>
          <w:rFonts w:ascii="Tahoma" w:hAnsi="Tahoma" w:cs="Tahoma"/>
          <w:sz w:val="24"/>
          <w:szCs w:val="24"/>
        </w:rPr>
      </w:pPr>
      <w:r w:rsidRPr="001B7C06">
        <w:rPr>
          <w:rFonts w:ascii="Tahoma" w:hAnsi="Tahoma" w:cs="Tahoma"/>
          <w:sz w:val="24"/>
          <w:szCs w:val="24"/>
        </w:rPr>
        <w:t>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</w:t>
      </w:r>
    </w:p>
    <w:p w14:paraId="4E050D39" w14:textId="77777777" w:rsidR="0055522E" w:rsidRPr="001B7C06" w:rsidRDefault="0055522E" w:rsidP="001B7C0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/>
          <w:lang w:val="pl-PL"/>
        </w:rPr>
      </w:pPr>
    </w:p>
    <w:p w14:paraId="4EB3F101" w14:textId="77777777" w:rsidR="0055522E" w:rsidRPr="001B7C06" w:rsidRDefault="0055522E" w:rsidP="001B7C0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/>
          <w:lang w:val="pl-PL"/>
        </w:rPr>
      </w:pPr>
    </w:p>
    <w:p w14:paraId="46A1373E" w14:textId="32D9202B" w:rsidR="0055522E" w:rsidRPr="001B7C06" w:rsidRDefault="0055522E" w:rsidP="001B7C0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/>
          <w:lang w:val="pl-PL"/>
        </w:rPr>
      </w:pPr>
      <w:r w:rsidRPr="001B7C06">
        <w:rPr>
          <w:rFonts w:ascii="Tahoma" w:hAnsi="Tahoma" w:cs="Tahoma"/>
          <w:b/>
          <w:lang w:val="pl-PL"/>
        </w:rPr>
        <w:t>Podpis:</w:t>
      </w:r>
    </w:p>
    <w:p w14:paraId="31D12176" w14:textId="77777777" w:rsidR="0055522E" w:rsidRPr="001B7C06" w:rsidRDefault="0055522E" w:rsidP="001B7C0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Tahoma" w:hAnsi="Tahoma" w:cs="Tahoma"/>
          <w:bCs/>
          <w:lang w:val="pl-PL"/>
        </w:rPr>
      </w:pPr>
      <w:r w:rsidRPr="001B7C06">
        <w:rPr>
          <w:rFonts w:ascii="Tahoma" w:hAnsi="Tahoma" w:cs="Tahoma"/>
          <w:bCs/>
          <w:lang w:val="pl-PL"/>
        </w:rPr>
        <w:t xml:space="preserve">(Data i podpis osoby </w:t>
      </w:r>
      <w:proofErr w:type="gramStart"/>
      <w:r w:rsidRPr="001B7C06">
        <w:rPr>
          <w:rFonts w:ascii="Tahoma" w:hAnsi="Tahoma" w:cs="Tahoma"/>
          <w:bCs/>
          <w:lang w:val="pl-PL"/>
        </w:rPr>
        <w:t>uprawnionej )</w:t>
      </w:r>
      <w:proofErr w:type="gramEnd"/>
    </w:p>
    <w:p w14:paraId="40BBAB26" w14:textId="77777777" w:rsidR="000D4C26" w:rsidRPr="000B1A87" w:rsidRDefault="008757D4" w:rsidP="000B1A87">
      <w:pPr>
        <w:spacing w:before="576" w:line="360" w:lineRule="auto"/>
        <w:rPr>
          <w:rFonts w:ascii="Tahoma" w:hAnsi="Tahoma" w:cs="Tahoma"/>
          <w:sz w:val="24"/>
          <w:szCs w:val="24"/>
        </w:rPr>
      </w:pPr>
    </w:p>
    <w:sectPr w:rsidR="000D4C26" w:rsidRPr="000B1A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6AF0" w14:textId="77777777" w:rsidR="008757D4" w:rsidRDefault="008757D4" w:rsidP="0055522E">
      <w:pPr>
        <w:spacing w:after="0" w:line="240" w:lineRule="auto"/>
      </w:pPr>
      <w:r>
        <w:separator/>
      </w:r>
    </w:p>
  </w:endnote>
  <w:endnote w:type="continuationSeparator" w:id="0">
    <w:p w14:paraId="7A3683A9" w14:textId="77777777" w:rsidR="008757D4" w:rsidRDefault="008757D4" w:rsidP="0055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329504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B24366" w14:textId="72714D43" w:rsidR="000B2B93" w:rsidRPr="00C422DE" w:rsidRDefault="000B2B93" w:rsidP="000B2B93">
        <w:pPr>
          <w:pStyle w:val="Nagwek"/>
          <w:pBdr>
            <w:top w:val="single" w:sz="4" w:space="1" w:color="auto"/>
          </w:pBdr>
          <w:spacing w:before="120"/>
          <w:rPr>
            <w:rFonts w:ascii="Calibri" w:hAnsi="Calibri" w:cs="Arial"/>
            <w:i/>
            <w:sz w:val="18"/>
            <w:szCs w:val="18"/>
          </w:rPr>
        </w:pPr>
        <w:r>
          <w:rPr>
            <w:rFonts w:ascii="Calibri" w:hAnsi="Calibri" w:cs="Arial"/>
            <w:i/>
            <w:sz w:val="18"/>
            <w:szCs w:val="18"/>
          </w:rPr>
          <w:tab/>
          <w:t xml:space="preserve">     </w:t>
        </w:r>
        <w:r w:rsidRPr="00A71F46">
          <w:rPr>
            <w:rFonts w:ascii="Calibri" w:hAnsi="Calibri" w:cs="Arial"/>
            <w:i/>
            <w:sz w:val="18"/>
            <w:szCs w:val="18"/>
          </w:rPr>
          <w:t xml:space="preserve">  </w:t>
        </w:r>
        <w:r w:rsidRPr="00A71F46">
          <w:rPr>
            <w:rFonts w:ascii="Calibri" w:hAnsi="Calibri" w:cs="Arial"/>
            <w:i/>
            <w:sz w:val="18"/>
            <w:szCs w:val="18"/>
          </w:rPr>
          <w:tab/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begin"/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instrText xml:space="preserve"> PAGE </w:instrText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separate"/>
        </w:r>
        <w:r w:rsidR="009C631F">
          <w:rPr>
            <w:rStyle w:val="Numerstrony"/>
            <w:rFonts w:ascii="Calibri" w:hAnsi="Calibri" w:cs="Arial"/>
            <w:i/>
            <w:noProof/>
            <w:sz w:val="18"/>
            <w:szCs w:val="18"/>
          </w:rPr>
          <w:t>5</w:t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end"/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t>/</w:t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begin"/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instrText xml:space="preserve"> NUMPAGES </w:instrText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separate"/>
        </w:r>
        <w:r w:rsidR="009C631F">
          <w:rPr>
            <w:rStyle w:val="Numerstrony"/>
            <w:rFonts w:ascii="Calibri" w:hAnsi="Calibri" w:cs="Arial"/>
            <w:i/>
            <w:noProof/>
            <w:sz w:val="18"/>
            <w:szCs w:val="18"/>
          </w:rPr>
          <w:t>5</w:t>
        </w:r>
        <w:r w:rsidRPr="00A71F46">
          <w:rPr>
            <w:rStyle w:val="Numerstrony"/>
            <w:rFonts w:ascii="Calibri" w:hAnsi="Calibri" w:cs="Arial"/>
            <w:i/>
            <w:sz w:val="18"/>
            <w:szCs w:val="18"/>
          </w:rPr>
          <w:fldChar w:fldCharType="end"/>
        </w:r>
      </w:p>
    </w:sdtContent>
  </w:sdt>
  <w:p w14:paraId="5E6F98D3" w14:textId="6DDE9976" w:rsidR="00473B34" w:rsidRPr="000B2B93" w:rsidRDefault="00473B34" w:rsidP="000B2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7819" w14:textId="77777777" w:rsidR="008757D4" w:rsidRDefault="008757D4" w:rsidP="0055522E">
      <w:pPr>
        <w:spacing w:after="0" w:line="240" w:lineRule="auto"/>
      </w:pPr>
      <w:r>
        <w:separator/>
      </w:r>
    </w:p>
  </w:footnote>
  <w:footnote w:type="continuationSeparator" w:id="0">
    <w:p w14:paraId="4FBBE2C5" w14:textId="77777777" w:rsidR="008757D4" w:rsidRDefault="008757D4" w:rsidP="00555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5961" w14:textId="47BD6B8A" w:rsidR="0055522E" w:rsidRDefault="0055522E">
    <w:pPr>
      <w:pStyle w:val="Nagwek"/>
    </w:pPr>
    <w:r>
      <w:rPr>
        <w:noProof/>
      </w:rPr>
      <w:drawing>
        <wp:inline distT="0" distB="0" distL="0" distR="0" wp14:anchorId="48D35A29" wp14:editId="473BAC8E">
          <wp:extent cx="5760720" cy="572770"/>
          <wp:effectExtent l="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1CFA"/>
    <w:multiLevelType w:val="multilevel"/>
    <w:tmpl w:val="8ECE21B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12" w:hanging="2520"/>
      </w:pPr>
      <w:rPr>
        <w:rFonts w:hint="default"/>
      </w:rPr>
    </w:lvl>
  </w:abstractNum>
  <w:abstractNum w:abstractNumId="1" w15:restartNumberingAfterBreak="0">
    <w:nsid w:val="2A610A51"/>
    <w:multiLevelType w:val="hybridMultilevel"/>
    <w:tmpl w:val="3206A0C8"/>
    <w:lvl w:ilvl="0" w:tplc="AAB0B24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907B9"/>
    <w:multiLevelType w:val="multilevel"/>
    <w:tmpl w:val="CEB8EC6E"/>
    <w:lvl w:ilvl="0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7" w:hanging="720"/>
      </w:pPr>
    </w:lvl>
    <w:lvl w:ilvl="3">
      <w:start w:val="1"/>
      <w:numFmt w:val="decimal"/>
      <w:lvlText w:val="%1.%2.%3.%4."/>
      <w:lvlJc w:val="left"/>
      <w:pPr>
        <w:ind w:left="2846" w:hanging="720"/>
      </w:pPr>
    </w:lvl>
    <w:lvl w:ilvl="4">
      <w:start w:val="1"/>
      <w:numFmt w:val="decimal"/>
      <w:lvlText w:val="%1.%2.%3.%4.%5."/>
      <w:lvlJc w:val="left"/>
      <w:pPr>
        <w:ind w:left="3915" w:hanging="1080"/>
      </w:pPr>
    </w:lvl>
    <w:lvl w:ilvl="5">
      <w:start w:val="1"/>
      <w:numFmt w:val="decimal"/>
      <w:lvlText w:val="%1.%2.%3.%4.%5.%6."/>
      <w:lvlJc w:val="left"/>
      <w:pPr>
        <w:ind w:left="4624" w:hanging="1080"/>
      </w:pPr>
    </w:lvl>
    <w:lvl w:ilvl="6">
      <w:start w:val="1"/>
      <w:numFmt w:val="decimal"/>
      <w:lvlText w:val="%1.%2.%3.%4.%5.%6.%7."/>
      <w:lvlJc w:val="left"/>
      <w:pPr>
        <w:ind w:left="5693" w:hanging="1440"/>
      </w:pPr>
    </w:lvl>
    <w:lvl w:ilvl="7">
      <w:start w:val="1"/>
      <w:numFmt w:val="decimal"/>
      <w:lvlText w:val="%1.%2.%3.%4.%5.%6.%7.%8."/>
      <w:lvlJc w:val="left"/>
      <w:pPr>
        <w:ind w:left="6402" w:hanging="1440"/>
      </w:pPr>
    </w:lvl>
    <w:lvl w:ilvl="8">
      <w:start w:val="1"/>
      <w:numFmt w:val="decimal"/>
      <w:lvlText w:val="%1.%2.%3.%4.%5.%6.%7.%8.%9."/>
      <w:lvlJc w:val="left"/>
      <w:pPr>
        <w:ind w:left="7471" w:hanging="1800"/>
      </w:pPr>
    </w:lvl>
  </w:abstractNum>
  <w:abstractNum w:abstractNumId="3" w15:restartNumberingAfterBreak="0">
    <w:nsid w:val="547138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5B4C37"/>
    <w:multiLevelType w:val="hybridMultilevel"/>
    <w:tmpl w:val="4976C8FE"/>
    <w:lvl w:ilvl="0" w:tplc="090A028A">
      <w:start w:val="1"/>
      <w:numFmt w:val="bullet"/>
      <w:lvlText w:val="-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59DD3494"/>
    <w:multiLevelType w:val="hybridMultilevel"/>
    <w:tmpl w:val="62D29C30"/>
    <w:lvl w:ilvl="0" w:tplc="84CABF38">
      <w:start w:val="1"/>
      <w:numFmt w:val="decimal"/>
      <w:lvlText w:val="4.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75086"/>
    <w:multiLevelType w:val="multilevel"/>
    <w:tmpl w:val="B008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A95E70"/>
    <w:multiLevelType w:val="multilevel"/>
    <w:tmpl w:val="577465A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num w:numId="1">
    <w:abstractNumId w:val="1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74D"/>
    <w:rsid w:val="000128D3"/>
    <w:rsid w:val="000460E2"/>
    <w:rsid w:val="00055358"/>
    <w:rsid w:val="00071A5D"/>
    <w:rsid w:val="00073E64"/>
    <w:rsid w:val="000B1A87"/>
    <w:rsid w:val="000B2B93"/>
    <w:rsid w:val="000D327C"/>
    <w:rsid w:val="00105E28"/>
    <w:rsid w:val="001175D7"/>
    <w:rsid w:val="00172BBF"/>
    <w:rsid w:val="001A3040"/>
    <w:rsid w:val="001B7C06"/>
    <w:rsid w:val="00283F41"/>
    <w:rsid w:val="002A0807"/>
    <w:rsid w:val="002B3718"/>
    <w:rsid w:val="003211F7"/>
    <w:rsid w:val="00340757"/>
    <w:rsid w:val="00355120"/>
    <w:rsid w:val="003912F3"/>
    <w:rsid w:val="003F634F"/>
    <w:rsid w:val="0042749D"/>
    <w:rsid w:val="00473B34"/>
    <w:rsid w:val="00484D4A"/>
    <w:rsid w:val="004A68E7"/>
    <w:rsid w:val="004E1CE4"/>
    <w:rsid w:val="00507128"/>
    <w:rsid w:val="00513555"/>
    <w:rsid w:val="00552553"/>
    <w:rsid w:val="0055522E"/>
    <w:rsid w:val="00565724"/>
    <w:rsid w:val="00573861"/>
    <w:rsid w:val="005A1538"/>
    <w:rsid w:val="005D6412"/>
    <w:rsid w:val="00610E1F"/>
    <w:rsid w:val="00652614"/>
    <w:rsid w:val="006B55DD"/>
    <w:rsid w:val="006B7F6C"/>
    <w:rsid w:val="006D42C6"/>
    <w:rsid w:val="007208E4"/>
    <w:rsid w:val="00754F8B"/>
    <w:rsid w:val="00783499"/>
    <w:rsid w:val="007D64DB"/>
    <w:rsid w:val="007F5B5B"/>
    <w:rsid w:val="0084374D"/>
    <w:rsid w:val="008757D4"/>
    <w:rsid w:val="00887FC2"/>
    <w:rsid w:val="008E2353"/>
    <w:rsid w:val="008F1E01"/>
    <w:rsid w:val="00902835"/>
    <w:rsid w:val="00921933"/>
    <w:rsid w:val="00921939"/>
    <w:rsid w:val="00932ED2"/>
    <w:rsid w:val="00984D74"/>
    <w:rsid w:val="009A05EB"/>
    <w:rsid w:val="009C631F"/>
    <w:rsid w:val="009F7F60"/>
    <w:rsid w:val="00A812F7"/>
    <w:rsid w:val="00A83564"/>
    <w:rsid w:val="00AB4A63"/>
    <w:rsid w:val="00AC1888"/>
    <w:rsid w:val="00B1198C"/>
    <w:rsid w:val="00B14C7F"/>
    <w:rsid w:val="00B54F14"/>
    <w:rsid w:val="00B610CC"/>
    <w:rsid w:val="00B819A8"/>
    <w:rsid w:val="00B85CAE"/>
    <w:rsid w:val="00BA65F1"/>
    <w:rsid w:val="00BA701E"/>
    <w:rsid w:val="00BB7ADE"/>
    <w:rsid w:val="00BF7B79"/>
    <w:rsid w:val="00C46AB9"/>
    <w:rsid w:val="00CD653A"/>
    <w:rsid w:val="00D25490"/>
    <w:rsid w:val="00D41984"/>
    <w:rsid w:val="00D80512"/>
    <w:rsid w:val="00E6122B"/>
    <w:rsid w:val="00E666F6"/>
    <w:rsid w:val="00E976BC"/>
    <w:rsid w:val="00E978F9"/>
    <w:rsid w:val="00EA47CE"/>
    <w:rsid w:val="00F17E98"/>
    <w:rsid w:val="00FD4B93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0EF3D"/>
  <w15:chartTrackingRefBased/>
  <w15:docId w15:val="{A246168A-348B-47D8-BADC-17F90953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4"/>
        <w:szCs w:val="22"/>
        <w:lang w:val="pl-PL" w:eastAsia="en-US" w:bidi="ar-SA"/>
      </w:rPr>
    </w:rPrDefault>
    <w:pPrDefault>
      <w:pPr>
        <w:spacing w:before="240" w:after="160" w:line="276" w:lineRule="auto"/>
        <w:ind w:left="567" w:hanging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74D"/>
    <w:pPr>
      <w:spacing w:before="0" w:line="256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F5B5B"/>
    <w:pPr>
      <w:keepNext/>
      <w:tabs>
        <w:tab w:val="left" w:leader="dot" w:pos="9072"/>
      </w:tabs>
      <w:spacing w:after="0" w:line="240" w:lineRule="auto"/>
      <w:ind w:left="284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D4B93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D4B93"/>
    <w:pPr>
      <w:keepNext/>
      <w:keepLines/>
      <w:outlineLvl w:val="2"/>
    </w:pPr>
    <w:rPr>
      <w:rFonts w:eastAsiaTheme="majorEastAsia" w:cstheme="majorBidi"/>
      <w:sz w:val="26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EA47CE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0D327C"/>
    <w:pPr>
      <w:autoSpaceDN w:val="0"/>
      <w:textAlignment w:val="baseline"/>
    </w:pPr>
    <w:rPr>
      <w:rFonts w:eastAsiaTheme="majorEastAsia" w:cstheme="majorBidi"/>
      <w:color w:val="2E74B5" w:themeColor="accent1" w:themeShade="BF"/>
    </w:rPr>
  </w:style>
  <w:style w:type="character" w:customStyle="1" w:styleId="Styl1Znak">
    <w:name w:val="Styl1 Znak"/>
    <w:basedOn w:val="Domylnaczcionkaakapitu"/>
    <w:link w:val="Styl1"/>
    <w:rsid w:val="000D327C"/>
    <w:rPr>
      <w:rFonts w:ascii="Verdana" w:eastAsiaTheme="majorEastAsia" w:hAnsi="Verdana" w:cstheme="majorBidi"/>
      <w:color w:val="2E74B5" w:themeColor="accent1" w:themeShade="BF"/>
      <w:sz w:val="24"/>
    </w:rPr>
  </w:style>
  <w:style w:type="character" w:styleId="Uwydatnienie">
    <w:name w:val="Emphasis"/>
    <w:basedOn w:val="Domylnaczcionkaakapitu"/>
    <w:uiPriority w:val="20"/>
    <w:rsid w:val="00D80512"/>
    <w:rPr>
      <w:rFonts w:ascii="Verdana" w:hAnsi="Verdana"/>
      <w:b/>
      <w:i w:val="0"/>
      <w:iCs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7F5B5B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D4B93"/>
    <w:rPr>
      <w:rFonts w:eastAsiaTheme="majorEastAsia" w:cstheme="majorBidi"/>
      <w:sz w:val="26"/>
      <w:szCs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BB7ADE"/>
    <w:rPr>
      <w:rFonts w:eastAsiaTheme="majorEastAsia" w:cstheme="majorBidi"/>
      <w:b/>
      <w:spacing w:val="-10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7ADE"/>
    <w:rPr>
      <w:rFonts w:eastAsiaTheme="majorEastAsia" w:cstheme="majorBidi"/>
      <w:b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073E64"/>
    <w:pPr>
      <w:numPr>
        <w:ilvl w:val="1"/>
      </w:numPr>
      <w:ind w:left="567" w:hanging="567"/>
    </w:pPr>
    <w:rPr>
      <w:rFonts w:eastAsiaTheme="minorEastAsia"/>
      <w:b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E64"/>
    <w:rPr>
      <w:rFonts w:eastAsiaTheme="minorEastAsia"/>
      <w:b/>
      <w:spacing w:val="15"/>
      <w:sz w:val="28"/>
    </w:rPr>
  </w:style>
  <w:style w:type="character" w:styleId="Wyrnienieintensywne">
    <w:name w:val="Intense Emphasis"/>
    <w:basedOn w:val="Domylnaczcionkaakapitu"/>
    <w:uiPriority w:val="21"/>
    <w:qFormat/>
    <w:rsid w:val="00FD4B93"/>
    <w:rPr>
      <w:rFonts w:ascii="Verdana" w:hAnsi="Verdana"/>
      <w:b w:val="0"/>
      <w:i w:val="0"/>
      <w:iCs/>
      <w:caps w:val="0"/>
      <w:smallCaps w:val="0"/>
      <w:strike w:val="0"/>
      <w:dstrike w:val="0"/>
      <w:vanish w:val="0"/>
      <w:color w:val="auto"/>
      <w:sz w:val="26"/>
      <w:u w:val="none"/>
      <w:bdr w:val="none" w:sz="0" w:space="0" w:color="auto"/>
      <w:vertAlign w:val="baseline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D4B93"/>
    <w:rPr>
      <w:rFonts w:eastAsiaTheme="majorEastAsia" w:cstheme="majorBidi"/>
      <w:b/>
      <w:sz w:val="28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EA47CE"/>
    <w:rPr>
      <w:rFonts w:eastAsiaTheme="majorEastAsia" w:cstheme="majorBidi"/>
      <w:b/>
      <w:iCs/>
    </w:rPr>
  </w:style>
  <w:style w:type="paragraph" w:styleId="Bezodstpw">
    <w:name w:val="No Spacing"/>
    <w:uiPriority w:val="1"/>
    <w:qFormat/>
    <w:rsid w:val="00D25490"/>
    <w:pPr>
      <w:widowControl w:val="0"/>
      <w:suppressAutoHyphens/>
      <w:autoSpaceDN w:val="0"/>
      <w:textAlignment w:val="baseline"/>
    </w:pPr>
    <w:rPr>
      <w:rFonts w:eastAsia="Calibri" w:cs="F"/>
      <w:kern w:val="3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175D7"/>
    <w:rPr>
      <w:rFonts w:cstheme="majorHAnsi"/>
      <w:bCs/>
      <w:szCs w:val="24"/>
    </w:rPr>
  </w:style>
  <w:style w:type="character" w:styleId="Wyrnieniedelikatne">
    <w:name w:val="Subtle Emphasis"/>
    <w:basedOn w:val="Domylnaczcionkaakapitu"/>
    <w:uiPriority w:val="19"/>
    <w:qFormat/>
    <w:rsid w:val="008E2353"/>
    <w:rPr>
      <w:rFonts w:ascii="Verdana" w:hAnsi="Verdana"/>
      <w:i w:val="0"/>
      <w:iCs/>
      <w:color w:val="auto"/>
      <w:sz w:val="26"/>
    </w:rPr>
  </w:style>
  <w:style w:type="character" w:styleId="Hipercze">
    <w:name w:val="Hyperlink"/>
    <w:basedOn w:val="Domylnaczcionkaakapitu"/>
    <w:uiPriority w:val="99"/>
    <w:unhideWhenUsed/>
    <w:rsid w:val="0084374D"/>
    <w:rPr>
      <w:color w:val="0563C1" w:themeColor="hyperlink"/>
      <w:u w:val="single"/>
    </w:rPr>
  </w:style>
  <w:style w:type="paragraph" w:styleId="Akapitzlist">
    <w:name w:val="List Paragraph"/>
    <w:aliases w:val="L1,Numerowanie,2 heading,A_wyliczenie,K-P_odwolanie,Akapit z listą5,maz_wyliczenie,opis dzialania,Kolorowa lista — akcent 11,T_SZ_List Paragraph,normalny tekst,Akapit z listą BS,CW_Lista,Colorful List Accent 1,List Paragraph,wypunktowanie"/>
    <w:basedOn w:val="Normalny"/>
    <w:link w:val="AkapitzlistZnak"/>
    <w:qFormat/>
    <w:rsid w:val="00B54F14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olorowa lista — akcent 11 Znak,T_SZ_List Paragraph Znak,normalny tekst Znak,CW_Lista Znak"/>
    <w:link w:val="Akapitzlist"/>
    <w:qFormat/>
    <w:rsid w:val="00B54F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B54F14"/>
    <w:pPr>
      <w:autoSpaceDE w:val="0"/>
      <w:autoSpaceDN w:val="0"/>
      <w:adjustRightInd w:val="0"/>
      <w:spacing w:before="0" w:after="0" w:line="240" w:lineRule="auto"/>
      <w:ind w:left="0" w:firstLine="0"/>
    </w:pPr>
    <w:rPr>
      <w:rFonts w:ascii="Calibri" w:hAnsi="Calibri" w:cs="Calibri"/>
      <w:color w:val="000000"/>
      <w:szCs w:val="24"/>
    </w:rPr>
  </w:style>
  <w:style w:type="paragraph" w:styleId="Nagwek">
    <w:name w:val="header"/>
    <w:basedOn w:val="Normalny"/>
    <w:link w:val="NagwekZnak"/>
    <w:unhideWhenUsed/>
    <w:rsid w:val="00555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5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5522E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5522E"/>
    <w:rPr>
      <w:rFonts w:ascii="Times New Roman" w:eastAsia="Times New Roman" w:hAnsi="Times New Roman" w:cs="Times New Roman"/>
      <w:szCs w:val="24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3564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0B2B93"/>
  </w:style>
  <w:style w:type="paragraph" w:styleId="Tekstdymka">
    <w:name w:val="Balloon Text"/>
    <w:basedOn w:val="Normalny"/>
    <w:link w:val="TekstdymkaZnak"/>
    <w:uiPriority w:val="99"/>
    <w:semiHidden/>
    <w:unhideWhenUsed/>
    <w:rsid w:val="00921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93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lub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.rektora@umlub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1369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Gałkowska</dc:creator>
  <cp:keywords/>
  <dc:description/>
  <cp:lastModifiedBy>Patrycja Mendel</cp:lastModifiedBy>
  <cp:revision>17</cp:revision>
  <cp:lastPrinted>2025-11-27T09:00:00Z</cp:lastPrinted>
  <dcterms:created xsi:type="dcterms:W3CDTF">2025-11-05T12:15:00Z</dcterms:created>
  <dcterms:modified xsi:type="dcterms:W3CDTF">2026-02-20T06:45:00Z</dcterms:modified>
</cp:coreProperties>
</file>